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E858A" w14:textId="77777777" w:rsidR="00307933" w:rsidRDefault="00307933">
      <w:pPr>
        <w:pStyle w:val="Textoindependiente"/>
        <w:spacing w:before="1"/>
        <w:rPr>
          <w:rFonts w:ascii="Times New Roman"/>
          <w:b w:val="0"/>
        </w:rPr>
      </w:pPr>
    </w:p>
    <w:p w14:paraId="39F033B1" w14:textId="77777777" w:rsidR="00157226" w:rsidRDefault="00157226">
      <w:pPr>
        <w:pStyle w:val="Textoindependiente"/>
        <w:spacing w:before="1"/>
        <w:rPr>
          <w:rFonts w:ascii="Times New Roman"/>
          <w:b w:val="0"/>
        </w:rPr>
      </w:pPr>
    </w:p>
    <w:p w14:paraId="28A82568" w14:textId="493F3ADB" w:rsidR="00157226" w:rsidRPr="00157226" w:rsidRDefault="00157226" w:rsidP="00157226">
      <w:pPr>
        <w:pStyle w:val="Ttulo1"/>
        <w:spacing w:line="273" w:lineRule="exact"/>
        <w:ind w:left="74" w:right="30"/>
        <w:jc w:val="center"/>
        <w:rPr>
          <w:spacing w:val="-2"/>
        </w:rPr>
      </w:pPr>
      <w:r w:rsidRPr="00E052E6">
        <w:t>Informe sobre Datos del Sector Eléctrico Colombiano y Prestación del Servicio en SIN y ZNI</w:t>
      </w:r>
    </w:p>
    <w:p w14:paraId="55AFD54E" w14:textId="77777777" w:rsidR="00157226" w:rsidRPr="00E052E6" w:rsidRDefault="00157226" w:rsidP="00157226">
      <w:pPr>
        <w:spacing w:after="160" w:line="278" w:lineRule="auto"/>
        <w:jc w:val="center"/>
        <w:rPr>
          <w:b/>
          <w:bCs/>
        </w:rPr>
      </w:pPr>
    </w:p>
    <w:p w14:paraId="5596F8F6" w14:textId="77777777" w:rsidR="00157226" w:rsidRPr="00E052E6" w:rsidRDefault="00157226" w:rsidP="00157226">
      <w:pPr>
        <w:spacing w:after="160" w:line="278" w:lineRule="auto"/>
        <w:rPr>
          <w:b/>
          <w:bCs/>
        </w:rPr>
      </w:pPr>
      <w:r w:rsidRPr="00E052E6">
        <w:rPr>
          <w:b/>
          <w:bCs/>
        </w:rPr>
        <w:t>Importancia de los datos sectoriales para identificar Operadores de Red y prestadores del servicio</w:t>
      </w:r>
    </w:p>
    <w:p w14:paraId="1BD9D73A" w14:textId="77777777" w:rsidR="00157226" w:rsidRPr="00E052E6" w:rsidRDefault="00157226" w:rsidP="00157226">
      <w:pPr>
        <w:spacing w:after="160" w:line="278" w:lineRule="auto"/>
      </w:pPr>
      <w:r w:rsidRPr="00E052E6">
        <w:t>Contar con información confiable y detallada del sector eléctrico colombiano es fundamental para identificar y conocer a los Operadores de Red (OR) del Sistema Interconectado Nacional (SIN) y a los prestadores del servicio de energía en las Zonas No Interconectadas (ZNI). Una base de datos sólida y centralizada permite registrar quiénes son estas empresas, dónde operan y cuáles son sus principales indicadores de desempeño. A continuación, se destacan las razones clave de la importancia de esta data sectorial:</w:t>
      </w:r>
    </w:p>
    <w:p w14:paraId="0F228817" w14:textId="77777777" w:rsidR="00157226" w:rsidRPr="00E052E6" w:rsidRDefault="00157226" w:rsidP="00157226">
      <w:pPr>
        <w:widowControl/>
        <w:numPr>
          <w:ilvl w:val="0"/>
          <w:numId w:val="1"/>
        </w:numPr>
        <w:autoSpaceDE/>
        <w:autoSpaceDN/>
        <w:spacing w:after="160" w:line="278" w:lineRule="auto"/>
      </w:pPr>
      <w:r w:rsidRPr="00E052E6">
        <w:rPr>
          <w:b/>
          <w:bCs/>
        </w:rPr>
        <w:t>Planeación y expansión del servicio:</w:t>
      </w:r>
      <w:r w:rsidRPr="00E052E6">
        <w:t xml:space="preserve"> Con datos actualizados sobre las áreas atendidas por cada OR y prestador, el Gobierno puede identificar zonas sin cobertura o con servicio deficiente y planificar proyectos de expansión eléctrica. Por ejemplo, el Ministerio de Minas y Energía se fijó la meta de lograr la universalización del servicio eléctrico para 2030-2031, impulsando mecanismos para que los OR inviertan en la ampliación de redes hacia zonas remotas. Esta información guía inversiones estratégicas para cerrar brechas de cobertura y cumplir las metas de electrificación rural.</w:t>
      </w:r>
    </w:p>
    <w:p w14:paraId="3ACBA0CA" w14:textId="77777777" w:rsidR="00157226" w:rsidRPr="00E052E6" w:rsidRDefault="00157226" w:rsidP="00157226">
      <w:pPr>
        <w:widowControl/>
        <w:numPr>
          <w:ilvl w:val="0"/>
          <w:numId w:val="1"/>
        </w:numPr>
        <w:autoSpaceDE/>
        <w:autoSpaceDN/>
        <w:spacing w:after="160" w:line="278" w:lineRule="auto"/>
      </w:pPr>
      <w:r w:rsidRPr="00E052E6">
        <w:rPr>
          <w:b/>
          <w:bCs/>
        </w:rPr>
        <w:t>Regulación y calidad del servicio:</w:t>
      </w:r>
      <w:r w:rsidRPr="00E052E6">
        <w:t xml:space="preserve"> Los datos permiten a las entidades regulatorias y de control (CREG, Superservicios, UPME) hacer seguimiento al desempeño de cada OR y prestador. Por ley, los OR reportan periódicamente indicadores de calidad del servicio como SAIDI (duración promedio de interrupciones) y SAIFI (frecuencia de interrupciones) en sus zonas de distribución, lo que facilita comparar la continuidad del suministro entre empresas y regiones. Este seguimiento de indicadores técnicos ayuda a detectar oportunidades de mejora y exigir planes de inversión donde la calidad esté por debajo de los estándares.</w:t>
      </w:r>
    </w:p>
    <w:p w14:paraId="30E43555" w14:textId="77777777" w:rsidR="00157226" w:rsidRPr="00E052E6" w:rsidRDefault="00157226" w:rsidP="00157226">
      <w:pPr>
        <w:widowControl/>
        <w:numPr>
          <w:ilvl w:val="0"/>
          <w:numId w:val="1"/>
        </w:numPr>
        <w:autoSpaceDE/>
        <w:autoSpaceDN/>
        <w:spacing w:after="160" w:line="278" w:lineRule="auto"/>
      </w:pPr>
      <w:r w:rsidRPr="00E052E6">
        <w:rPr>
          <w:b/>
          <w:bCs/>
        </w:rPr>
        <w:t>Transparencia y participación ciudadana:</w:t>
      </w:r>
      <w:r w:rsidRPr="00E052E6">
        <w:t xml:space="preserve"> Disponer públicamente de la lista de Operadores de Red y prestadores con sus datos de contacto, áreas de operación y niveles de servicio empodera a los usuarios y comunidades. Los ciudadanos pueden saber quién es la empresa responsable de prestarles el servicio eléctrico, lo cual es vital para canalizar peticiones o reclamaciones. Además, datos abiertos del sector (por ejemplo, informes anuales de OR publicados en plataformas oficiales) fomentan la transparencia y la colaboración académica, permitiendo análisis independientes sobre tarifas, cobertura y eficiencia.</w:t>
      </w:r>
    </w:p>
    <w:p w14:paraId="3DDED073" w14:textId="77777777" w:rsidR="00157226" w:rsidRPr="00E052E6" w:rsidRDefault="00157226" w:rsidP="00157226">
      <w:pPr>
        <w:widowControl/>
        <w:numPr>
          <w:ilvl w:val="0"/>
          <w:numId w:val="1"/>
        </w:numPr>
        <w:autoSpaceDE/>
        <w:autoSpaceDN/>
        <w:spacing w:after="160" w:line="278" w:lineRule="auto"/>
      </w:pPr>
      <w:r w:rsidRPr="00E052E6">
        <w:rPr>
          <w:b/>
          <w:bCs/>
        </w:rPr>
        <w:t>Toma de decisiones informada:</w:t>
      </w:r>
      <w:r w:rsidRPr="00E052E6">
        <w:t xml:space="preserve"> La recopilación de grandes volúmenes de datos operativos del sistema eléctrico desde consumos, pérdidas de energía, hasta fallas y mantenimientos aporta información valiosa para optimizar la gestión. Un manejo inteligente de estos datos, </w:t>
      </w:r>
      <w:r w:rsidRPr="00E052E6">
        <w:lastRenderedPageBreak/>
        <w:t xml:space="preserve">apoyado en herramientas tecnológicas (analítica, inteligencia artificial), ayuda a anticipar demandas futuras, identificar cuellos de botella y planificar la infraestructura adecuadamente. En el siglo XXI, los datos se consideran </w:t>
      </w:r>
      <w:r w:rsidRPr="00E052E6">
        <w:rPr>
          <w:i/>
          <w:iCs/>
        </w:rPr>
        <w:t>“el nuevo oro”</w:t>
      </w:r>
      <w:r w:rsidRPr="00E052E6">
        <w:t xml:space="preserve"> para el sector energético, ya que extraer conocimiento de ellos permite mejorar la confiabilidad, resiliencia y eficiencia de las operaciones eléctricas.</w:t>
      </w:r>
    </w:p>
    <w:p w14:paraId="27EFAC10" w14:textId="77777777" w:rsidR="00157226" w:rsidRDefault="00157226" w:rsidP="00157226">
      <w:r w:rsidRPr="00E052E6">
        <w:t>En resumen, la data sectorial es un activo estratégico. Para el Ministerio de Minas y Energía resulta crucial conocer con precisión cuántos y cuáles son los OR en el SIN y quiénes operan como prestadores en las ZNI. Solo con esta radiografía completa del sector es posible diseñar políticas acertadas, dirigir subsidios de manera focalizada y asegurar que todos los colombianos tengan acceso a un servicio de energía eléctrico continuo y de calidad.</w:t>
      </w:r>
    </w:p>
    <w:p w14:paraId="30A8A4F3" w14:textId="77777777" w:rsidR="00157226" w:rsidRPr="00E052E6" w:rsidRDefault="00157226" w:rsidP="00157226">
      <w:pPr>
        <w:spacing w:after="160" w:line="278" w:lineRule="auto"/>
      </w:pPr>
    </w:p>
    <w:p w14:paraId="50CCCE86" w14:textId="77777777" w:rsidR="00157226" w:rsidRPr="00E052E6" w:rsidRDefault="00157226" w:rsidP="00157226">
      <w:pPr>
        <w:spacing w:after="160" w:line="278" w:lineRule="auto"/>
        <w:rPr>
          <w:b/>
          <w:bCs/>
        </w:rPr>
      </w:pPr>
      <w:r w:rsidRPr="00E052E6">
        <w:rPr>
          <w:b/>
          <w:bCs/>
        </w:rPr>
        <w:t>Prestación del servicio de energía en el SIN y en las ZNI</w:t>
      </w:r>
    </w:p>
    <w:p w14:paraId="5C1BD91F" w14:textId="77777777" w:rsidR="00157226" w:rsidRDefault="00157226" w:rsidP="00157226">
      <w:r w:rsidRPr="00E052E6">
        <w:t xml:space="preserve">El servicio público de energía eléctrica en Colombia se presta a través de dos modalidades geográficas: el Sistema Interconectado Nacional (SIN), que abarca la mayor parte del país con una red eléctrica unificada, y las Zonas No Interconectadas (ZNI), que corresponden a áreas aisladas donde no llega la red nacional y se requieren soluciones locales. A </w:t>
      </w:r>
      <w:r w:rsidRPr="00B92FD9">
        <w:t>continuación,</w:t>
      </w:r>
      <w:r w:rsidRPr="00E052E6">
        <w:t xml:space="preserve"> se explica, de forma general y educativa, cómo se garantiza la prestación del servicio en cada caso, resaltando las diferencias entre ambos sistemas.</w:t>
      </w:r>
    </w:p>
    <w:p w14:paraId="3365706D" w14:textId="77777777" w:rsidR="00157226" w:rsidRDefault="00157226" w:rsidP="00157226"/>
    <w:p w14:paraId="5596CA3B" w14:textId="77777777" w:rsidR="00157226" w:rsidRPr="00E052E6" w:rsidRDefault="00157226" w:rsidP="00157226">
      <w:pPr>
        <w:spacing w:after="160" w:line="278" w:lineRule="auto"/>
        <w:rPr>
          <w:b/>
          <w:bCs/>
        </w:rPr>
      </w:pPr>
      <w:r w:rsidRPr="00E052E6">
        <w:rPr>
          <w:b/>
          <w:bCs/>
        </w:rPr>
        <w:t>Sistema Interconectado Nacional (SIN)</w:t>
      </w:r>
    </w:p>
    <w:p w14:paraId="14D921F6" w14:textId="77777777" w:rsidR="00157226" w:rsidRPr="00E052E6" w:rsidRDefault="00157226" w:rsidP="00157226">
      <w:pPr>
        <w:spacing w:after="160" w:line="278" w:lineRule="auto"/>
      </w:pPr>
      <w:r w:rsidRPr="00E052E6">
        <w:t>El SIN es la red eléctrica interconectad</w:t>
      </w:r>
      <w:r w:rsidRPr="00B92FD9">
        <w:t>a, e</w:t>
      </w:r>
      <w:r w:rsidRPr="00E052E6">
        <w:t>n este sistema, la prestación del servicio de energía se basa en una infraestructura eléctrica integrada que incluye generación centralizada, transmisión a alta tensión y distribución local:</w:t>
      </w:r>
    </w:p>
    <w:p w14:paraId="68F89CC0" w14:textId="77777777" w:rsidR="00157226" w:rsidRPr="00E052E6" w:rsidRDefault="00157226" w:rsidP="00157226">
      <w:pPr>
        <w:widowControl/>
        <w:numPr>
          <w:ilvl w:val="0"/>
          <w:numId w:val="2"/>
        </w:numPr>
        <w:autoSpaceDE/>
        <w:autoSpaceDN/>
        <w:spacing w:after="160" w:line="278" w:lineRule="auto"/>
      </w:pPr>
      <w:r w:rsidRPr="00E052E6">
        <w:rPr>
          <w:b/>
          <w:bCs/>
        </w:rPr>
        <w:t>Generación y despacho centralizado:</w:t>
      </w:r>
      <w:r w:rsidRPr="00E052E6">
        <w:t xml:space="preserve"> Las necesidades de electricidad del SIN son atendidas por un parque generador amplio y diversificado (hidroeléctricas, térmicas, solar, eólica, etc.). Estas plantas inyectan energía al sistema interconectado. Un operador independiente del sistema (XM, bajo supervisión del CND) se encarga del despacho centralizado, es decir, de coordinar qué plantas generan en cada momento para satisfacer la demanda al menor costo, manteniendo la estabilidad de la red. Gracias a esta coordinación, la energía fluye a través de la red nacional desde las zonas de generación hacia los centros de consumo.</w:t>
      </w:r>
    </w:p>
    <w:p w14:paraId="24A26F68" w14:textId="77777777" w:rsidR="00157226" w:rsidRPr="00E052E6" w:rsidRDefault="00157226" w:rsidP="00157226">
      <w:pPr>
        <w:widowControl/>
        <w:numPr>
          <w:ilvl w:val="0"/>
          <w:numId w:val="2"/>
        </w:numPr>
        <w:autoSpaceDE/>
        <w:autoSpaceDN/>
        <w:spacing w:after="160" w:line="278" w:lineRule="auto"/>
      </w:pPr>
      <w:r w:rsidRPr="00E052E6">
        <w:rPr>
          <w:b/>
          <w:bCs/>
        </w:rPr>
        <w:t>Transmisión nacional:</w:t>
      </w:r>
      <w:r w:rsidRPr="00E052E6">
        <w:t xml:space="preserve"> La energía eléctrica se transporta a largas distancias mediante redes de transmisión en alta tensión (líneas de 500 kV, 230 kV, etc.). Colombia cuenta con un Sistema de Transmisión Nacional robusto, operado por compañías especializadas, que conecta las distintas regiones entre sí. Esto permite que las principales ciudades y regiones compartan recursos de generación y se respalde mutuamente ante variaciones de oferta o demanda. El SIN opera en frecuencia y voltaje controlados de forma unificada, garantizando la interoperabilidad de todos los equipos conectados.</w:t>
      </w:r>
    </w:p>
    <w:p w14:paraId="0698B3B7" w14:textId="77777777" w:rsidR="00157226" w:rsidRDefault="00157226" w:rsidP="00157226">
      <w:pPr>
        <w:widowControl/>
        <w:numPr>
          <w:ilvl w:val="0"/>
          <w:numId w:val="2"/>
        </w:numPr>
        <w:autoSpaceDE/>
        <w:autoSpaceDN/>
        <w:spacing w:after="160" w:line="278" w:lineRule="auto"/>
      </w:pPr>
      <w:r w:rsidRPr="00E052E6">
        <w:rPr>
          <w:b/>
          <w:bCs/>
        </w:rPr>
        <w:lastRenderedPageBreak/>
        <w:t>Distribución y comercialización local:</w:t>
      </w:r>
      <w:r w:rsidRPr="00E052E6">
        <w:t xml:space="preserve"> Al acercarse a las zonas de consumo, la tensión se reduce en subestaciones y la energía se entrega a las redes de distribución regionales. Cada área del país tiene un </w:t>
      </w:r>
      <w:r w:rsidRPr="00E052E6">
        <w:rPr>
          <w:i/>
          <w:iCs/>
        </w:rPr>
        <w:t>Operador de Red (OR)</w:t>
      </w:r>
      <w:r w:rsidRPr="00E052E6">
        <w:t xml:space="preserve"> encargado de su red de distribución</w:t>
      </w:r>
      <w:r>
        <w:t xml:space="preserve">. </w:t>
      </w:r>
      <w:r w:rsidRPr="00E052E6">
        <w:t>Estos OR son las empresas que prestan el servicio directamente a los usuarios finales: construyen y mantienen las redes de media y baja tensión, atienden daños, y hacen la medición y facturación del consumo eléctrico. En el SIN, la mayoría de los usuarios reciben un servicio continuo 24 horas al día, con niveles de calidad regulados. Los OR deben cumplir estándares de continuidad y calidad, medidos por indicadores como SAIDI y SAIFI, sujetos a supervisión de la Superintendencia de Servicios Públicos. Cuando ocurren fallas o cortes.</w:t>
      </w:r>
    </w:p>
    <w:p w14:paraId="2B33192C" w14:textId="77777777" w:rsidR="00157226" w:rsidRPr="00E052E6" w:rsidRDefault="00157226" w:rsidP="00157226">
      <w:pPr>
        <w:spacing w:after="160" w:line="278" w:lineRule="auto"/>
        <w:ind w:left="720"/>
      </w:pPr>
    </w:p>
    <w:p w14:paraId="62596E78" w14:textId="77777777" w:rsidR="00157226" w:rsidRPr="00E052E6" w:rsidRDefault="00157226" w:rsidP="00157226">
      <w:pPr>
        <w:spacing w:after="160" w:line="278" w:lineRule="auto"/>
        <w:rPr>
          <w:b/>
          <w:bCs/>
        </w:rPr>
      </w:pPr>
      <w:r w:rsidRPr="00E052E6">
        <w:rPr>
          <w:b/>
          <w:bCs/>
        </w:rPr>
        <w:t>Zonas No Interconectadas (ZNI)</w:t>
      </w:r>
    </w:p>
    <w:p w14:paraId="1BEFE85C" w14:textId="77777777" w:rsidR="00157226" w:rsidRPr="00E052E6" w:rsidRDefault="00157226" w:rsidP="00157226">
      <w:pPr>
        <w:spacing w:after="160" w:line="278" w:lineRule="auto"/>
      </w:pPr>
      <w:r w:rsidRPr="00E052E6">
        <w:t xml:space="preserve">Las Zonas No Interconectadas (ZNI) son aquellas áreas del territorio nacional que no están conectadas al SIN por medio de las redes eléctricas convencionales. Según la definición legal, las ZNI comprenden municipios, corregimientos, localidades o caseríos aislados donde extender las líneas de interconexión no ha sido técnica o económicamente viable. </w:t>
      </w:r>
    </w:p>
    <w:p w14:paraId="5DB1C113" w14:textId="77777777" w:rsidR="00157226" w:rsidRPr="00E052E6" w:rsidRDefault="00157226" w:rsidP="00157226">
      <w:pPr>
        <w:spacing w:after="160" w:line="278" w:lineRule="auto"/>
      </w:pPr>
      <w:r w:rsidRPr="00E052E6">
        <w:t>La prestación del servicio de energía en las ZNI se caracteriza por esquemas aislados y de menor escala, adaptados a las condiciones locales. En ausencia de una conexión al sistema nacional, cada comunidad o municipio ZNI suele abastecerse mediante una combinación de plantas de generación local y soluciones autónomas:</w:t>
      </w:r>
    </w:p>
    <w:p w14:paraId="0748E3D3" w14:textId="77777777" w:rsidR="00157226" w:rsidRPr="00E052E6" w:rsidRDefault="00157226" w:rsidP="00157226">
      <w:pPr>
        <w:widowControl/>
        <w:numPr>
          <w:ilvl w:val="0"/>
          <w:numId w:val="3"/>
        </w:numPr>
        <w:autoSpaceDE/>
        <w:autoSpaceDN/>
        <w:spacing w:after="160" w:line="278" w:lineRule="auto"/>
      </w:pPr>
      <w:r w:rsidRPr="00E052E6">
        <w:rPr>
          <w:b/>
          <w:bCs/>
        </w:rPr>
        <w:t>Generación local (diésel y otras fuentes):</w:t>
      </w:r>
      <w:r w:rsidRPr="00E052E6">
        <w:t xml:space="preserve"> Históricamente, la fuente principal de electricidad en las ZNI han sido los generadores diésel de pequeña capacidad. Más del 80% de la capacidad instalada en ZNI corresponde a cientos de </w:t>
      </w:r>
      <w:proofErr w:type="spellStart"/>
      <w:r w:rsidRPr="00E052E6">
        <w:t>motogeneradores</w:t>
      </w:r>
      <w:proofErr w:type="spellEnd"/>
      <w:r w:rsidRPr="00E052E6">
        <w:t xml:space="preserve"> diésel dispersos, típicamente con potencias inferiores a 100 kW cada uno. Estas plantas queman combustible fósil para producir electricidad localmente. Adicionalmente, en algunas comunidades se han implementado pequeñas centrales hidroeléctricas o sistemas solares fotovoltaicos (paneles solares) para complementar la generación. Esto está cambiando gradualmente con proyectos de energías renovables que buscan reducir la dependencia al diésel.</w:t>
      </w:r>
    </w:p>
    <w:p w14:paraId="1258DB0A" w14:textId="77777777" w:rsidR="00157226" w:rsidRPr="00E052E6" w:rsidRDefault="00157226" w:rsidP="00157226">
      <w:pPr>
        <w:widowControl/>
        <w:numPr>
          <w:ilvl w:val="0"/>
          <w:numId w:val="3"/>
        </w:numPr>
        <w:autoSpaceDE/>
        <w:autoSpaceDN/>
        <w:spacing w:after="160" w:line="278" w:lineRule="auto"/>
      </w:pPr>
      <w:r w:rsidRPr="00E052E6">
        <w:rPr>
          <w:b/>
          <w:bCs/>
        </w:rPr>
        <w:t>Microrredes y soluciones comunitarias:</w:t>
      </w:r>
      <w:r w:rsidRPr="00E052E6">
        <w:t xml:space="preserve"> La electricidad producida localmente en las ZNI se distribuye a través de redes eléctricas aisladas que cubren el poblado o veredas cercanas. Estas microrredes suelen operar en baja tensión y abarcan pocos kilómetros de extensión. Debido a las limitaciones de combustible y capacidad, muchas ZNI no tienen suministro 24/7, sino que la electricidad se brinda por horarios (por ejemplo, 6 u 8 horas al día) para optimizar recursos. Según planes indicativos del gobierno, hacia 2017 solo el 71% de la población en ZNI recibía al menos 4 horas diarias de energía eléctrica, indicando la necesidad de ampliar la cobertura horaria. Los prestadores del servicio en ZNI que pueden ser empresas públicas locales, cooperativas o incluso la misma alcaldía municipal en algunos casos son responsables de operar estas microrredes, realizar mantenimientos básicos y gestionar la logística de </w:t>
      </w:r>
      <w:r w:rsidRPr="00E052E6">
        <w:lastRenderedPageBreak/>
        <w:t>combustible. La Superintendencia de Servicios Públicos también supervisa estas entidades, aunque enfrentan retos financieros y técnicos significativos</w:t>
      </w:r>
      <w:r>
        <w:t>.</w:t>
      </w:r>
    </w:p>
    <w:p w14:paraId="75D7C9C0" w14:textId="77777777" w:rsidR="00157226" w:rsidRPr="00E052E6" w:rsidRDefault="00157226" w:rsidP="00157226">
      <w:pPr>
        <w:widowControl/>
        <w:numPr>
          <w:ilvl w:val="0"/>
          <w:numId w:val="3"/>
        </w:numPr>
        <w:autoSpaceDE/>
        <w:autoSpaceDN/>
        <w:spacing w:after="160" w:line="278" w:lineRule="auto"/>
      </w:pPr>
      <w:r w:rsidRPr="00E052E6">
        <w:rPr>
          <w:b/>
          <w:bCs/>
        </w:rPr>
        <w:t>Apoyo gubernamental y subsidios:</w:t>
      </w:r>
      <w:r w:rsidRPr="00E052E6">
        <w:t xml:space="preserve"> Conscientes de las brechas, el gobierno nacional, a través de fondos especializados, subsidia parcialmente el costo del servicio en las ZNI para los usuarios, especialmente en tarifas de estratos bajos. Fondos como FAZNI (Fondo de Apoyo Financiero para la Energización de las ZNI) canalizan recursos para proyectos de infraestructura en estas zonas. Asimismo, el Instituto de Planificación y Promoción de Soluciones Energéticas (IPSE) gestiona un Centro Nacional de Monitoreo (CNM) que recopila datos en tiempo real de muchas localidades ZNI equipadas con telemetría, permitiendo vigilar el estado del servicio remoto (horas de suministro, consumo, etc.) y así mejorar la administración de estas micro redes aisladas.</w:t>
      </w:r>
    </w:p>
    <w:p w14:paraId="7263B0A6" w14:textId="77777777" w:rsidR="00157226" w:rsidRPr="00E052E6" w:rsidRDefault="00157226" w:rsidP="00157226">
      <w:pPr>
        <w:spacing w:after="160" w:line="278" w:lineRule="auto"/>
      </w:pPr>
      <w:r w:rsidRPr="00E052E6">
        <w:t>A pesar de las dificultades, las ZNI son una prioridad en la política energética actual. Se han introducido nuevos mecanismos para integrar a las ZNI dentro de la solución nacional: por ejemplo, se están realizando subastas para ZNI donde empresas privadas pueden proponer proyectos de energías renovables en comunidades aisladas, y la regulación ahora permite que los Operadores de Red del SIN también operen soluciones aisladas en ZNI cuando expandir la red convencional no es eficiente. El objetivo final es cerrar la brecha de servicio entre el campo aislado y la ciudad interconectada, avanzando hacia la equidad. De hecho, Colombia aspira a lograr un 100% de cobertura eléctrica nacional para 2030, lo cual implica llevar energía a todas las ZNI remanentes mediante proyectos solares, eólicos, pequeñas hidroeléctricas y otras tecnologías limpias.</w:t>
      </w:r>
    </w:p>
    <w:p w14:paraId="757CD1B4" w14:textId="77777777" w:rsidR="00157226" w:rsidRDefault="00157226" w:rsidP="00157226">
      <w:r w:rsidRPr="00E052E6">
        <w:t>En conclusión, la prestación del servicio eléctrico en el SIN versus en las ZNI presenta contrastes marcados: el SIN ofrecer energía continua y respaldada por una gran infraestructura unificada, mientras que en las ZNI el servicio es local, limitado y requiere soluciones innovadoras para garantizar su sostenibilidad. No obstante, ambos subsistemas están convergiendo en el propósito común de brindar energía asequible, confiable y sostenible a todos los colombianos, alineándose con las metas de desarrollo nacional y los Objetivos de Desarrollo Sostenible en materia de acceso universal a la energía. Con una gestión adecuada de los datos sectoriales y el apoyo a las empresas prestadoras (grandes y pequeñas), el Ministerio de Minas y Energía puede monitorear los progresos y desafíos en cada frente, orientando las acciones para que el brillo de la luz eléctrica llegue a cada rincón de Colombia.</w:t>
      </w:r>
    </w:p>
    <w:p w14:paraId="5085DAE7" w14:textId="77777777" w:rsidR="00157226" w:rsidRPr="00E052E6" w:rsidRDefault="00157226" w:rsidP="00157226">
      <w:pPr>
        <w:spacing w:after="160" w:line="278" w:lineRule="auto"/>
      </w:pPr>
    </w:p>
    <w:p w14:paraId="3A2BBB24" w14:textId="77777777" w:rsidR="00157226" w:rsidRPr="00E052E6" w:rsidRDefault="00157226" w:rsidP="00157226">
      <w:pPr>
        <w:spacing w:after="160" w:line="278" w:lineRule="auto"/>
      </w:pPr>
      <w:r w:rsidRPr="00E052E6">
        <w:rPr>
          <w:b/>
          <w:bCs/>
        </w:rPr>
        <w:t>Fuentes Consultadas:</w:t>
      </w:r>
    </w:p>
    <w:p w14:paraId="3AB72B25" w14:textId="77777777" w:rsidR="00157226" w:rsidRPr="003472C9" w:rsidRDefault="00157226" w:rsidP="00157226">
      <w:pPr>
        <w:pStyle w:val="Prrafodelista"/>
        <w:widowControl/>
        <w:numPr>
          <w:ilvl w:val="0"/>
          <w:numId w:val="4"/>
        </w:numPr>
        <w:autoSpaceDE/>
        <w:autoSpaceDN/>
        <w:spacing w:after="160" w:line="278" w:lineRule="auto"/>
        <w:contextualSpacing/>
      </w:pPr>
      <w:r w:rsidRPr="003472C9">
        <w:t xml:space="preserve">Instituto de Planificación y Promoción de Soluciones Energéticas – IPSE. (2022). </w:t>
      </w:r>
      <w:r w:rsidRPr="003472C9">
        <w:rPr>
          <w:i/>
          <w:iCs/>
        </w:rPr>
        <w:t>Informe de gestión Zonas No Interconectadas</w:t>
      </w:r>
      <w:r w:rsidRPr="003472C9">
        <w:t>. https://www.ipse.gov.co</w:t>
      </w:r>
    </w:p>
    <w:p w14:paraId="1FFF06D5" w14:textId="77777777" w:rsidR="00157226" w:rsidRPr="003472C9" w:rsidRDefault="00157226" w:rsidP="00157226">
      <w:pPr>
        <w:pStyle w:val="Prrafodelista"/>
        <w:widowControl/>
        <w:numPr>
          <w:ilvl w:val="0"/>
          <w:numId w:val="4"/>
        </w:numPr>
        <w:autoSpaceDE/>
        <w:autoSpaceDN/>
        <w:spacing w:after="160" w:line="278" w:lineRule="auto"/>
        <w:contextualSpacing/>
      </w:pPr>
      <w:r w:rsidRPr="003472C9">
        <w:t xml:space="preserve">Ministerio de Minas y Energía. (2021). </w:t>
      </w:r>
      <w:r w:rsidRPr="003472C9">
        <w:rPr>
          <w:i/>
          <w:iCs/>
        </w:rPr>
        <w:t>Lineamientos para la prestación del servicio de energía eléctrica en las Zonas No Interconectadas</w:t>
      </w:r>
      <w:r w:rsidRPr="003472C9">
        <w:t xml:space="preserve">. </w:t>
      </w:r>
      <w:hyperlink r:id="rId11" w:tgtFrame="_new" w:history="1">
        <w:r w:rsidRPr="003472C9">
          <w:rPr>
            <w:rStyle w:val="Hipervnculo"/>
          </w:rPr>
          <w:t>https://www.minenergia.gov.co</w:t>
        </w:r>
      </w:hyperlink>
    </w:p>
    <w:p w14:paraId="15B5CB6F" w14:textId="77777777" w:rsidR="00157226" w:rsidRPr="003472C9" w:rsidRDefault="00157226" w:rsidP="00157226">
      <w:pPr>
        <w:pStyle w:val="Prrafodelista"/>
        <w:widowControl/>
        <w:numPr>
          <w:ilvl w:val="0"/>
          <w:numId w:val="4"/>
        </w:numPr>
        <w:autoSpaceDE/>
        <w:autoSpaceDN/>
        <w:spacing w:after="160" w:line="278" w:lineRule="auto"/>
        <w:contextualSpacing/>
      </w:pPr>
      <w:r w:rsidRPr="003472C9">
        <w:t xml:space="preserve">Ministerio de Minas y Energía. (2022). </w:t>
      </w:r>
      <w:r w:rsidRPr="003472C9">
        <w:rPr>
          <w:i/>
          <w:iCs/>
        </w:rPr>
        <w:t>Plan indicativo de expansión de cobertura eléctrica</w:t>
      </w:r>
      <w:r w:rsidRPr="003472C9">
        <w:t xml:space="preserve">. </w:t>
      </w:r>
      <w:hyperlink r:id="rId12" w:tgtFrame="_new" w:history="1">
        <w:r w:rsidRPr="003472C9">
          <w:rPr>
            <w:rStyle w:val="Hipervnculo"/>
          </w:rPr>
          <w:t>https://www.minenergia.gov.co</w:t>
        </w:r>
      </w:hyperlink>
    </w:p>
    <w:p w14:paraId="7A4A21AF" w14:textId="77777777" w:rsidR="00157226" w:rsidRPr="003472C9" w:rsidRDefault="00157226" w:rsidP="00157226">
      <w:pPr>
        <w:pStyle w:val="Prrafodelista"/>
        <w:widowControl/>
        <w:numPr>
          <w:ilvl w:val="0"/>
          <w:numId w:val="4"/>
        </w:numPr>
        <w:autoSpaceDE/>
        <w:autoSpaceDN/>
        <w:spacing w:after="160" w:line="278" w:lineRule="auto"/>
        <w:contextualSpacing/>
      </w:pPr>
      <w:r w:rsidRPr="003472C9">
        <w:lastRenderedPageBreak/>
        <w:t xml:space="preserve">Superintendencia de Servicios Públicos Domiciliarios. (2023). </w:t>
      </w:r>
      <w:r w:rsidRPr="003472C9">
        <w:rPr>
          <w:i/>
          <w:iCs/>
        </w:rPr>
        <w:t>Indicadores de calidad del servicio de energía eléctrica</w:t>
      </w:r>
      <w:r w:rsidRPr="003472C9">
        <w:t xml:space="preserve">. </w:t>
      </w:r>
      <w:hyperlink r:id="rId13" w:tgtFrame="_new" w:history="1">
        <w:r w:rsidRPr="003472C9">
          <w:rPr>
            <w:rStyle w:val="Hipervnculo"/>
          </w:rPr>
          <w:t>https://www.superservicios.gov.co</w:t>
        </w:r>
      </w:hyperlink>
    </w:p>
    <w:p w14:paraId="08FB37E7" w14:textId="77777777" w:rsidR="00157226" w:rsidRPr="003472C9" w:rsidRDefault="00157226" w:rsidP="00157226">
      <w:pPr>
        <w:pStyle w:val="Prrafodelista"/>
        <w:widowControl/>
        <w:numPr>
          <w:ilvl w:val="0"/>
          <w:numId w:val="4"/>
        </w:numPr>
        <w:autoSpaceDE/>
        <w:autoSpaceDN/>
        <w:spacing w:after="160" w:line="278" w:lineRule="auto"/>
        <w:contextualSpacing/>
      </w:pPr>
      <w:r w:rsidRPr="003472C9">
        <w:t xml:space="preserve">Unidad de Planeación </w:t>
      </w:r>
      <w:proofErr w:type="gramStart"/>
      <w:r w:rsidRPr="003472C9">
        <w:t>Minero Energética</w:t>
      </w:r>
      <w:proofErr w:type="gramEnd"/>
      <w:r w:rsidRPr="003472C9">
        <w:t xml:space="preserve"> – UPME. (2023). </w:t>
      </w:r>
      <w:r w:rsidRPr="003472C9">
        <w:rPr>
          <w:i/>
          <w:iCs/>
        </w:rPr>
        <w:t>Plan de expansión del sistema eléctrico colombiano</w:t>
      </w:r>
      <w:r w:rsidRPr="003472C9">
        <w:t xml:space="preserve">. </w:t>
      </w:r>
      <w:hyperlink r:id="rId14" w:tgtFrame="_new" w:history="1">
        <w:r w:rsidRPr="003472C9">
          <w:rPr>
            <w:rStyle w:val="Hipervnculo"/>
          </w:rPr>
          <w:t>https://www.upme.gov.co</w:t>
        </w:r>
      </w:hyperlink>
    </w:p>
    <w:p w14:paraId="289C602D" w14:textId="77777777" w:rsidR="00157226" w:rsidRDefault="00157226" w:rsidP="00157226">
      <w:pPr>
        <w:pStyle w:val="Prrafodelista"/>
        <w:widowControl/>
        <w:numPr>
          <w:ilvl w:val="0"/>
          <w:numId w:val="4"/>
        </w:numPr>
        <w:autoSpaceDE/>
        <w:autoSpaceDN/>
        <w:spacing w:after="160" w:line="278" w:lineRule="auto"/>
        <w:contextualSpacing/>
      </w:pPr>
      <w:r w:rsidRPr="003472C9">
        <w:t xml:space="preserve">XM S.A. E.S.P. (2023). </w:t>
      </w:r>
      <w:r w:rsidRPr="003472C9">
        <w:rPr>
          <w:i/>
          <w:iCs/>
        </w:rPr>
        <w:t>Informe de operación del Sistema Interconectado Nacional</w:t>
      </w:r>
      <w:r w:rsidRPr="003472C9">
        <w:t xml:space="preserve">. </w:t>
      </w:r>
      <w:hyperlink r:id="rId15" w:tgtFrame="_new" w:history="1">
        <w:r w:rsidRPr="003472C9">
          <w:rPr>
            <w:rStyle w:val="Hipervnculo"/>
          </w:rPr>
          <w:t>https://www.xm.com.co</w:t>
        </w:r>
      </w:hyperlink>
    </w:p>
    <w:p w14:paraId="1242294E" w14:textId="77777777" w:rsidR="00527CBF" w:rsidRDefault="00527CBF" w:rsidP="00527CBF">
      <w:pPr>
        <w:widowControl/>
        <w:autoSpaceDE/>
        <w:autoSpaceDN/>
        <w:spacing w:after="160" w:line="278" w:lineRule="auto"/>
        <w:contextualSpacing/>
      </w:pPr>
    </w:p>
    <w:p w14:paraId="5C715C8F" w14:textId="5778FC0E" w:rsidR="00527CBF" w:rsidRPr="00527CBF" w:rsidRDefault="00527CBF" w:rsidP="00527CBF">
      <w:pPr>
        <w:pStyle w:val="Prrafodelista"/>
        <w:spacing w:before="176"/>
        <w:ind w:left="720"/>
        <w:rPr>
          <w:rFonts w:ascii="Arial MT" w:hAnsi="Arial MT"/>
          <w:sz w:val="16"/>
        </w:rPr>
      </w:pPr>
      <w:r w:rsidRPr="00527CBF">
        <w:rPr>
          <w:rFonts w:ascii="Arial MT" w:hAnsi="Arial MT"/>
          <w:w w:val="105"/>
          <w:sz w:val="16"/>
        </w:rPr>
        <w:t>Elaboró</w:t>
      </w:r>
      <w:r w:rsidRPr="00527CBF">
        <w:rPr>
          <w:rFonts w:ascii="Arial MT" w:hAnsi="Arial MT"/>
          <w:spacing w:val="15"/>
          <w:w w:val="105"/>
          <w:sz w:val="16"/>
        </w:rPr>
        <w:t xml:space="preserve"> </w:t>
      </w:r>
      <w:r>
        <w:rPr>
          <w:rFonts w:ascii="Arial MT" w:hAnsi="Arial MT"/>
          <w:w w:val="105"/>
          <w:sz w:val="16"/>
        </w:rPr>
        <w:t>informe</w:t>
      </w:r>
      <w:r w:rsidRPr="00527CBF">
        <w:rPr>
          <w:rFonts w:ascii="Arial MT" w:hAnsi="Arial MT"/>
          <w:w w:val="105"/>
          <w:sz w:val="16"/>
        </w:rPr>
        <w:t>: Juan Manuel Infante – Contratista</w:t>
      </w:r>
    </w:p>
    <w:p w14:paraId="4FE0550D" w14:textId="77777777" w:rsidR="00157226" w:rsidRPr="003472C9" w:rsidRDefault="00157226" w:rsidP="00157226">
      <w:pPr>
        <w:widowControl/>
        <w:autoSpaceDE/>
        <w:autoSpaceDN/>
        <w:spacing w:after="160" w:line="278" w:lineRule="auto"/>
        <w:contextualSpacing/>
      </w:pPr>
    </w:p>
    <w:p w14:paraId="6D528A9A" w14:textId="77777777" w:rsidR="00DB2267" w:rsidRDefault="00DB2267">
      <w:pPr>
        <w:pStyle w:val="Ttulo1"/>
        <w:spacing w:line="273" w:lineRule="exact"/>
        <w:ind w:left="74" w:right="30"/>
        <w:jc w:val="center"/>
      </w:pPr>
    </w:p>
    <w:sectPr w:rsidR="00DB2267">
      <w:headerReference w:type="default" r:id="rId16"/>
      <w:footerReference w:type="default" r:id="rId17"/>
      <w:pgSz w:w="12240" w:h="15840"/>
      <w:pgMar w:top="1920" w:right="1060" w:bottom="2000" w:left="1020" w:header="514" w:footer="18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38E73" w14:textId="77777777" w:rsidR="00412840" w:rsidRDefault="00412840">
      <w:r>
        <w:separator/>
      </w:r>
    </w:p>
  </w:endnote>
  <w:endnote w:type="continuationSeparator" w:id="0">
    <w:p w14:paraId="4E2BFC85" w14:textId="77777777" w:rsidR="00412840" w:rsidRDefault="00412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399BA" w14:textId="77777777" w:rsidR="00307933" w:rsidRDefault="00242234">
    <w:pPr>
      <w:pStyle w:val="Textoindependiente"/>
      <w:spacing w:line="14" w:lineRule="auto"/>
      <w:rPr>
        <w:b w:val="0"/>
        <w:sz w:val="20"/>
      </w:rPr>
    </w:pPr>
    <w:r>
      <w:rPr>
        <w:noProof/>
        <w:lang w:val="en-US"/>
      </w:rPr>
      <w:drawing>
        <wp:anchor distT="0" distB="0" distL="0" distR="0" simplePos="0" relativeHeight="487495168" behindDoc="1" locked="0" layoutInCell="1" allowOverlap="1" wp14:anchorId="424E8373" wp14:editId="5915B4A2">
          <wp:simplePos x="0" y="0"/>
          <wp:positionH relativeFrom="page">
            <wp:posOffset>739147</wp:posOffset>
          </wp:positionH>
          <wp:positionV relativeFrom="page">
            <wp:posOffset>9125325</wp:posOffset>
          </wp:positionV>
          <wp:extent cx="4592920" cy="687536"/>
          <wp:effectExtent l="0" t="0" r="0" b="0"/>
          <wp:wrapNone/>
          <wp:docPr id="337635140"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4592920" cy="687536"/>
                  </a:xfrm>
                  <a:prstGeom prst="rect">
                    <a:avLst/>
                  </a:prstGeom>
                </pic:spPr>
              </pic:pic>
            </a:graphicData>
          </a:graphic>
        </wp:anchor>
      </w:drawing>
    </w:r>
    <w:r>
      <w:rPr>
        <w:noProof/>
        <w:lang w:val="en-US"/>
      </w:rPr>
      <mc:AlternateContent>
        <mc:Choice Requires="wps">
          <w:drawing>
            <wp:anchor distT="0" distB="0" distL="0" distR="0" simplePos="0" relativeHeight="487495680" behindDoc="1" locked="0" layoutInCell="1" allowOverlap="1" wp14:anchorId="30BF8D3C" wp14:editId="3F99FD3B">
              <wp:simplePos x="0" y="0"/>
              <wp:positionH relativeFrom="page">
                <wp:posOffset>6271895</wp:posOffset>
              </wp:positionH>
              <wp:positionV relativeFrom="page">
                <wp:posOffset>8770601</wp:posOffset>
              </wp:positionV>
              <wp:extent cx="809625" cy="1638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9625" cy="163830"/>
                      </a:xfrm>
                      <a:prstGeom prst="rect">
                        <a:avLst/>
                      </a:prstGeom>
                    </wps:spPr>
                    <wps:txbx>
                      <w:txbxContent>
                        <w:p w14:paraId="5111BF08" w14:textId="46579798" w:rsidR="00307933" w:rsidRDefault="00242234">
                          <w:pPr>
                            <w:spacing w:before="18"/>
                            <w:ind w:left="20"/>
                            <w:rPr>
                              <w:rFonts w:ascii="Arial MT" w:hAnsi="Arial MT"/>
                              <w:sz w:val="19"/>
                            </w:rPr>
                          </w:pPr>
                          <w:r>
                            <w:rPr>
                              <w:rFonts w:ascii="Arial MT" w:hAnsi="Arial MT"/>
                              <w:sz w:val="19"/>
                            </w:rPr>
                            <w:t>Página</w:t>
                          </w:r>
                          <w:r>
                            <w:rPr>
                              <w:rFonts w:ascii="Arial MT" w:hAnsi="Arial MT"/>
                              <w:spacing w:val="17"/>
                              <w:sz w:val="19"/>
                            </w:rPr>
                            <w:t xml:space="preserve"> </w:t>
                          </w:r>
                          <w:r>
                            <w:rPr>
                              <w:rFonts w:ascii="Arial MT" w:hAnsi="Arial MT"/>
                              <w:sz w:val="19"/>
                            </w:rPr>
                            <w:fldChar w:fldCharType="begin"/>
                          </w:r>
                          <w:r>
                            <w:rPr>
                              <w:rFonts w:ascii="Arial MT" w:hAnsi="Arial MT"/>
                              <w:sz w:val="19"/>
                            </w:rPr>
                            <w:instrText xml:space="preserve"> PAGE </w:instrText>
                          </w:r>
                          <w:r>
                            <w:rPr>
                              <w:rFonts w:ascii="Arial MT" w:hAnsi="Arial MT"/>
                              <w:sz w:val="19"/>
                            </w:rPr>
                            <w:fldChar w:fldCharType="separate"/>
                          </w:r>
                          <w:r w:rsidR="005D7690">
                            <w:rPr>
                              <w:rFonts w:ascii="Arial MT" w:hAnsi="Arial MT"/>
                              <w:noProof/>
                              <w:sz w:val="19"/>
                            </w:rPr>
                            <w:t>1</w:t>
                          </w:r>
                          <w:r>
                            <w:rPr>
                              <w:rFonts w:ascii="Arial MT" w:hAnsi="Arial MT"/>
                              <w:sz w:val="19"/>
                            </w:rPr>
                            <w:fldChar w:fldCharType="end"/>
                          </w:r>
                          <w:r>
                            <w:rPr>
                              <w:rFonts w:ascii="Arial MT" w:hAnsi="Arial MT"/>
                              <w:spacing w:val="15"/>
                              <w:sz w:val="19"/>
                            </w:rPr>
                            <w:t xml:space="preserve"> </w:t>
                          </w:r>
                          <w:r>
                            <w:rPr>
                              <w:rFonts w:ascii="Arial MT" w:hAnsi="Arial MT"/>
                              <w:sz w:val="19"/>
                            </w:rPr>
                            <w:t>de</w:t>
                          </w:r>
                          <w:r>
                            <w:rPr>
                              <w:rFonts w:ascii="Arial MT" w:hAnsi="Arial MT"/>
                              <w:spacing w:val="17"/>
                              <w:sz w:val="19"/>
                            </w:rPr>
                            <w:t xml:space="preserve"> </w:t>
                          </w:r>
                          <w:r>
                            <w:rPr>
                              <w:rFonts w:ascii="Arial MT" w:hAnsi="Arial MT"/>
                              <w:spacing w:val="-12"/>
                              <w:sz w:val="19"/>
                            </w:rPr>
                            <w:fldChar w:fldCharType="begin"/>
                          </w:r>
                          <w:r>
                            <w:rPr>
                              <w:rFonts w:ascii="Arial MT" w:hAnsi="Arial MT"/>
                              <w:spacing w:val="-12"/>
                              <w:sz w:val="19"/>
                            </w:rPr>
                            <w:instrText xml:space="preserve"> NUMPAGES </w:instrText>
                          </w:r>
                          <w:r>
                            <w:rPr>
                              <w:rFonts w:ascii="Arial MT" w:hAnsi="Arial MT"/>
                              <w:spacing w:val="-12"/>
                              <w:sz w:val="19"/>
                            </w:rPr>
                            <w:fldChar w:fldCharType="separate"/>
                          </w:r>
                          <w:r w:rsidR="005D7690">
                            <w:rPr>
                              <w:rFonts w:ascii="Arial MT" w:hAnsi="Arial MT"/>
                              <w:noProof/>
                              <w:spacing w:val="-12"/>
                              <w:sz w:val="19"/>
                            </w:rPr>
                            <w:t>3</w:t>
                          </w:r>
                          <w:r>
                            <w:rPr>
                              <w:rFonts w:ascii="Arial MT" w:hAnsi="Arial MT"/>
                              <w:spacing w:val="-12"/>
                              <w:sz w:val="19"/>
                            </w:rPr>
                            <w:fldChar w:fldCharType="end"/>
                          </w:r>
                        </w:p>
                      </w:txbxContent>
                    </wps:txbx>
                    <wps:bodyPr wrap="square" lIns="0" tIns="0" rIns="0" bIns="0" rtlCol="0">
                      <a:noAutofit/>
                    </wps:bodyPr>
                  </wps:wsp>
                </a:graphicData>
              </a:graphic>
            </wp:anchor>
          </w:drawing>
        </mc:Choice>
        <mc:Fallback>
          <w:pict>
            <v:shapetype w14:anchorId="30BF8D3C" id="_x0000_t202" coordsize="21600,21600" o:spt="202" path="m,l,21600r21600,l21600,xe">
              <v:stroke joinstyle="miter"/>
              <v:path gradientshapeok="t" o:connecttype="rect"/>
            </v:shapetype>
            <v:shape id="Textbox 5" o:spid="_x0000_s1027" type="#_x0000_t202" style="position:absolute;margin-left:493.85pt;margin-top:690.6pt;width:63.75pt;height:12.9pt;z-index:-1582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" filled="f" stroked="f">
              <v:textbox inset="0,0,0,0">
                <w:txbxContent>
                  <w:p w14:paraId="5111BF08" w14:textId="46579798" w:rsidR="00307933" w:rsidRDefault="00242234">
                    <w:pPr>
                      <w:spacing w:before="18"/>
                      <w:ind w:left="20"/>
                      <w:rPr>
                        <w:rFonts w:ascii="Arial MT" w:hAnsi="Arial MT"/>
                        <w:sz w:val="19"/>
                      </w:rPr>
                    </w:pPr>
                    <w:r>
                      <w:rPr>
                        <w:rFonts w:ascii="Arial MT" w:hAnsi="Arial MT"/>
                        <w:sz w:val="19"/>
                      </w:rPr>
                      <w:t>Página</w:t>
                    </w:r>
                    <w:r>
                      <w:rPr>
                        <w:rFonts w:ascii="Arial MT" w:hAnsi="Arial MT"/>
                        <w:spacing w:val="17"/>
                        <w:sz w:val="19"/>
                      </w:rPr>
                      <w:t xml:space="preserve"> </w:t>
                    </w:r>
                    <w:r>
                      <w:rPr>
                        <w:rFonts w:ascii="Arial MT" w:hAnsi="Arial MT"/>
                        <w:sz w:val="19"/>
                      </w:rPr>
                      <w:fldChar w:fldCharType="begin"/>
                    </w:r>
                    <w:r>
                      <w:rPr>
                        <w:rFonts w:ascii="Arial MT" w:hAnsi="Arial MT"/>
                        <w:sz w:val="19"/>
                      </w:rPr>
                      <w:instrText xml:space="preserve"> PAGE </w:instrText>
                    </w:r>
                    <w:r>
                      <w:rPr>
                        <w:rFonts w:ascii="Arial MT" w:hAnsi="Arial MT"/>
                        <w:sz w:val="19"/>
                      </w:rPr>
                      <w:fldChar w:fldCharType="separate"/>
                    </w:r>
                    <w:r w:rsidR="005D7690">
                      <w:rPr>
                        <w:rFonts w:ascii="Arial MT" w:hAnsi="Arial MT"/>
                        <w:noProof/>
                        <w:sz w:val="19"/>
                      </w:rPr>
                      <w:t>1</w:t>
                    </w:r>
                    <w:r>
                      <w:rPr>
                        <w:rFonts w:ascii="Arial MT" w:hAnsi="Arial MT"/>
                        <w:sz w:val="19"/>
                      </w:rPr>
                      <w:fldChar w:fldCharType="end"/>
                    </w:r>
                    <w:r>
                      <w:rPr>
                        <w:rFonts w:ascii="Arial MT" w:hAnsi="Arial MT"/>
                        <w:spacing w:val="15"/>
                        <w:sz w:val="19"/>
                      </w:rPr>
                      <w:t xml:space="preserve"> </w:t>
                    </w:r>
                    <w:r>
                      <w:rPr>
                        <w:rFonts w:ascii="Arial MT" w:hAnsi="Arial MT"/>
                        <w:sz w:val="19"/>
                      </w:rPr>
                      <w:t>de</w:t>
                    </w:r>
                    <w:r>
                      <w:rPr>
                        <w:rFonts w:ascii="Arial MT" w:hAnsi="Arial MT"/>
                        <w:spacing w:val="17"/>
                        <w:sz w:val="19"/>
                      </w:rPr>
                      <w:t xml:space="preserve"> </w:t>
                    </w:r>
                    <w:r>
                      <w:rPr>
                        <w:rFonts w:ascii="Arial MT" w:hAnsi="Arial MT"/>
                        <w:spacing w:val="-12"/>
                        <w:sz w:val="19"/>
                      </w:rPr>
                      <w:fldChar w:fldCharType="begin"/>
                    </w:r>
                    <w:r>
                      <w:rPr>
                        <w:rFonts w:ascii="Arial MT" w:hAnsi="Arial MT"/>
                        <w:spacing w:val="-12"/>
                        <w:sz w:val="19"/>
                      </w:rPr>
                      <w:instrText xml:space="preserve"> NUMPAGES </w:instrText>
                    </w:r>
                    <w:r>
                      <w:rPr>
                        <w:rFonts w:ascii="Arial MT" w:hAnsi="Arial MT"/>
                        <w:spacing w:val="-12"/>
                        <w:sz w:val="19"/>
                      </w:rPr>
                      <w:fldChar w:fldCharType="separate"/>
                    </w:r>
                    <w:r w:rsidR="005D7690">
                      <w:rPr>
                        <w:rFonts w:ascii="Arial MT" w:hAnsi="Arial MT"/>
                        <w:noProof/>
                        <w:spacing w:val="-12"/>
                        <w:sz w:val="19"/>
                      </w:rPr>
                      <w:t>3</w:t>
                    </w:r>
                    <w:r>
                      <w:rPr>
                        <w:rFonts w:ascii="Arial MT" w:hAnsi="Arial MT"/>
                        <w:spacing w:val="-12"/>
                        <w:sz w:val="19"/>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6AE82" w14:textId="77777777" w:rsidR="00412840" w:rsidRDefault="00412840">
      <w:r>
        <w:separator/>
      </w:r>
    </w:p>
  </w:footnote>
  <w:footnote w:type="continuationSeparator" w:id="0">
    <w:p w14:paraId="685A9653" w14:textId="77777777" w:rsidR="00412840" w:rsidRDefault="00412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A6400" w14:textId="77777777" w:rsidR="00307933" w:rsidRDefault="00242234">
    <w:pPr>
      <w:pStyle w:val="Textoindependiente"/>
      <w:spacing w:line="14" w:lineRule="auto"/>
      <w:rPr>
        <w:b w:val="0"/>
        <w:sz w:val="20"/>
      </w:rPr>
    </w:pPr>
    <w:r>
      <w:rPr>
        <w:noProof/>
        <w:lang w:val="en-US"/>
      </w:rPr>
      <mc:AlternateContent>
        <mc:Choice Requires="wps">
          <w:drawing>
            <wp:anchor distT="0" distB="0" distL="0" distR="0" simplePos="0" relativeHeight="15728640" behindDoc="0" locked="0" layoutInCell="1" allowOverlap="1" wp14:anchorId="0621200F" wp14:editId="3FD79480">
              <wp:simplePos x="0" y="0"/>
              <wp:positionH relativeFrom="page">
                <wp:posOffset>677227</wp:posOffset>
              </wp:positionH>
              <wp:positionV relativeFrom="page">
                <wp:posOffset>324231</wp:posOffset>
              </wp:positionV>
              <wp:extent cx="6389370" cy="9055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89370" cy="905510"/>
                      </a:xfrm>
                      <a:prstGeom prst="rect">
                        <a:avLst/>
                      </a:prstGeom>
                    </wps:spPr>
                    <wps:txbx>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47"/>
                            <w:gridCol w:w="5812"/>
                            <w:gridCol w:w="1142"/>
                            <w:gridCol w:w="1127"/>
                          </w:tblGrid>
                          <w:tr w:rsidR="00307933" w14:paraId="55895F23" w14:textId="77777777">
                            <w:trPr>
                              <w:trHeight w:val="826"/>
                            </w:trPr>
                            <w:tc>
                              <w:tcPr>
                                <w:tcW w:w="1847" w:type="dxa"/>
                                <w:vMerge w:val="restart"/>
                              </w:tcPr>
                              <w:p w14:paraId="11949063" w14:textId="77777777" w:rsidR="00307933" w:rsidRDefault="00307933">
                                <w:pPr>
                                  <w:pStyle w:val="TableParagraph"/>
                                  <w:rPr>
                                    <w:rFonts w:ascii="Times New Roman"/>
                                  </w:rPr>
                                </w:pPr>
                              </w:p>
                            </w:tc>
                            <w:tc>
                              <w:tcPr>
                                <w:tcW w:w="5812" w:type="dxa"/>
                                <w:vMerge w:val="restart"/>
                              </w:tcPr>
                              <w:p w14:paraId="0B73D22D" w14:textId="77777777" w:rsidR="00307933" w:rsidRDefault="00307933">
                                <w:pPr>
                                  <w:pStyle w:val="TableParagraph"/>
                                  <w:spacing w:before="174"/>
                                  <w:rPr>
                                    <w:rFonts w:ascii="Times New Roman"/>
                                    <w:sz w:val="24"/>
                                  </w:rPr>
                                </w:pPr>
                              </w:p>
                              <w:p w14:paraId="7552C244" w14:textId="18BB4847" w:rsidR="00307933" w:rsidRDefault="00157226" w:rsidP="00157226">
                                <w:pPr>
                                  <w:pStyle w:val="TableParagraph"/>
                                  <w:ind w:left="1133"/>
                                  <w:jc w:val="center"/>
                                  <w:rPr>
                                    <w:b/>
                                    <w:sz w:val="24"/>
                                  </w:rPr>
                                </w:pPr>
                                <w:r w:rsidRPr="00157226">
                                  <w:rPr>
                                    <w:b/>
                                    <w:sz w:val="24"/>
                                  </w:rPr>
                                  <w:t>INFORMACIÓN SECTOR ELÉCTRICO SIN–ZNI</w:t>
                                </w:r>
                              </w:p>
                            </w:tc>
                            <w:tc>
                              <w:tcPr>
                                <w:tcW w:w="2269" w:type="dxa"/>
                                <w:gridSpan w:val="2"/>
                              </w:tcPr>
                              <w:p w14:paraId="02F39435" w14:textId="77777777" w:rsidR="00307933" w:rsidRDefault="00307933">
                                <w:pPr>
                                  <w:pStyle w:val="TableParagraph"/>
                                  <w:rPr>
                                    <w:rFonts w:ascii="Times New Roman"/>
                                  </w:rPr>
                                </w:pPr>
                              </w:p>
                            </w:tc>
                          </w:tr>
                          <w:tr w:rsidR="00307933" w14:paraId="298B5992" w14:textId="77777777">
                            <w:trPr>
                              <w:trHeight w:val="285"/>
                            </w:trPr>
                            <w:tc>
                              <w:tcPr>
                                <w:tcW w:w="1847" w:type="dxa"/>
                                <w:vMerge/>
                                <w:tcBorders>
                                  <w:top w:val="nil"/>
                                </w:tcBorders>
                              </w:tcPr>
                              <w:p w14:paraId="1213B02A" w14:textId="77777777" w:rsidR="00307933" w:rsidRDefault="00307933">
                                <w:pPr>
                                  <w:rPr>
                                    <w:sz w:val="2"/>
                                    <w:szCs w:val="2"/>
                                  </w:rPr>
                                </w:pPr>
                              </w:p>
                            </w:tc>
                            <w:tc>
                              <w:tcPr>
                                <w:tcW w:w="5812" w:type="dxa"/>
                                <w:vMerge/>
                                <w:tcBorders>
                                  <w:top w:val="nil"/>
                                </w:tcBorders>
                              </w:tcPr>
                              <w:p w14:paraId="1859FBB3" w14:textId="77777777" w:rsidR="00307933" w:rsidRDefault="00307933">
                                <w:pPr>
                                  <w:rPr>
                                    <w:sz w:val="2"/>
                                    <w:szCs w:val="2"/>
                                  </w:rPr>
                                </w:pPr>
                              </w:p>
                            </w:tc>
                            <w:tc>
                              <w:tcPr>
                                <w:tcW w:w="2269" w:type="dxa"/>
                                <w:gridSpan w:val="2"/>
                              </w:tcPr>
                              <w:p w14:paraId="4F19BD98" w14:textId="77777777" w:rsidR="00307933" w:rsidRDefault="00242234">
                                <w:pPr>
                                  <w:pStyle w:val="TableParagraph"/>
                                  <w:spacing w:before="58"/>
                                  <w:ind w:left="29"/>
                                  <w:jc w:val="center"/>
                                  <w:rPr>
                                    <w:rFonts w:ascii="Arial MT"/>
                                    <w:sz w:val="13"/>
                                  </w:rPr>
                                </w:pPr>
                                <w:r>
                                  <w:rPr>
                                    <w:rFonts w:ascii="Arial MT"/>
                                    <w:sz w:val="13"/>
                                  </w:rPr>
                                  <w:t>E-ME-F-</w:t>
                                </w:r>
                                <w:r>
                                  <w:rPr>
                                    <w:rFonts w:ascii="Arial MT"/>
                                    <w:spacing w:val="-5"/>
                                    <w:sz w:val="13"/>
                                  </w:rPr>
                                  <w:t>14</w:t>
                                </w:r>
                              </w:p>
                            </w:tc>
                          </w:tr>
                          <w:tr w:rsidR="00307933" w14:paraId="4D94ADFD" w14:textId="77777777">
                            <w:trPr>
                              <w:trHeight w:val="255"/>
                            </w:trPr>
                            <w:tc>
                              <w:tcPr>
                                <w:tcW w:w="1847" w:type="dxa"/>
                                <w:vMerge/>
                                <w:tcBorders>
                                  <w:top w:val="nil"/>
                                </w:tcBorders>
                              </w:tcPr>
                              <w:p w14:paraId="61F7F859" w14:textId="77777777" w:rsidR="00307933" w:rsidRDefault="00307933">
                                <w:pPr>
                                  <w:rPr>
                                    <w:sz w:val="2"/>
                                    <w:szCs w:val="2"/>
                                  </w:rPr>
                                </w:pPr>
                              </w:p>
                            </w:tc>
                            <w:tc>
                              <w:tcPr>
                                <w:tcW w:w="5812" w:type="dxa"/>
                                <w:vMerge/>
                                <w:tcBorders>
                                  <w:top w:val="nil"/>
                                </w:tcBorders>
                              </w:tcPr>
                              <w:p w14:paraId="00FF6506" w14:textId="77777777" w:rsidR="00307933" w:rsidRDefault="00307933">
                                <w:pPr>
                                  <w:rPr>
                                    <w:sz w:val="2"/>
                                    <w:szCs w:val="2"/>
                                  </w:rPr>
                                </w:pPr>
                              </w:p>
                            </w:tc>
                            <w:tc>
                              <w:tcPr>
                                <w:tcW w:w="1142" w:type="dxa"/>
                              </w:tcPr>
                              <w:p w14:paraId="60D33FDD" w14:textId="0BBEB760" w:rsidR="00307933" w:rsidRDefault="001F0172">
                                <w:pPr>
                                  <w:pStyle w:val="TableParagraph"/>
                                  <w:spacing w:before="43"/>
                                  <w:ind w:left="217"/>
                                  <w:rPr>
                                    <w:rFonts w:ascii="Arial MT"/>
                                    <w:sz w:val="13"/>
                                  </w:rPr>
                                </w:pPr>
                                <w:r>
                                  <w:rPr>
                                    <w:rFonts w:ascii="Arial MT"/>
                                    <w:sz w:val="13"/>
                                  </w:rPr>
                                  <w:t>22-10-</w:t>
                                </w:r>
                                <w:r>
                                  <w:rPr>
                                    <w:rFonts w:ascii="Arial MT"/>
                                    <w:spacing w:val="-4"/>
                                    <w:sz w:val="13"/>
                                  </w:rPr>
                                  <w:t>2025</w:t>
                                </w:r>
                              </w:p>
                            </w:tc>
                            <w:tc>
                              <w:tcPr>
                                <w:tcW w:w="1127" w:type="dxa"/>
                              </w:tcPr>
                              <w:p w14:paraId="2345F354" w14:textId="77777777" w:rsidR="00307933" w:rsidRDefault="00242234">
                                <w:pPr>
                                  <w:pStyle w:val="TableParagraph"/>
                                  <w:spacing w:before="43"/>
                                  <w:ind w:left="13"/>
                                  <w:jc w:val="center"/>
                                  <w:rPr>
                                    <w:rFonts w:ascii="Arial MT"/>
                                    <w:sz w:val="13"/>
                                  </w:rPr>
                                </w:pPr>
                                <w:r>
                                  <w:rPr>
                                    <w:rFonts w:ascii="Arial MT"/>
                                    <w:sz w:val="13"/>
                                  </w:rPr>
                                  <w:t>V-</w:t>
                                </w:r>
                                <w:r>
                                  <w:rPr>
                                    <w:rFonts w:ascii="Arial MT"/>
                                    <w:spacing w:val="-10"/>
                                    <w:sz w:val="13"/>
                                  </w:rPr>
                                  <w:t>5</w:t>
                                </w:r>
                              </w:p>
                            </w:tc>
                          </w:tr>
                        </w:tbl>
                        <w:p w14:paraId="5BE39FE5" w14:textId="77777777" w:rsidR="00307933" w:rsidRDefault="00307933">
                          <w:pPr>
                            <w:pStyle w:val="Textoindependiente"/>
                          </w:pPr>
                        </w:p>
                      </w:txbxContent>
                    </wps:txbx>
                    <wps:bodyPr wrap="square" lIns="0" tIns="0" rIns="0" bIns="0" rtlCol="0">
                      <a:noAutofit/>
                    </wps:bodyPr>
                  </wps:wsp>
                </a:graphicData>
              </a:graphic>
            </wp:anchor>
          </w:drawing>
        </mc:Choice>
        <mc:Fallback>
          <w:pict>
            <v:shapetype w14:anchorId="0621200F" id="_x0000_t202" coordsize="21600,21600" o:spt="202" path="m,l,21600r21600,l21600,xe">
              <v:stroke joinstyle="miter"/>
              <v:path gradientshapeok="t" o:connecttype="rect"/>
            </v:shapetype>
            <v:shape id="Textbox 1" o:spid="_x0000_s1026" type="#_x0000_t202" style="position:absolute;margin-left:53.3pt;margin-top:25.55pt;width:503.1pt;height:71.3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" filled="f" stroked="f">
              <v:textbox inset="0,0,0,0">
                <w:txbxContent>
                  <w:tbl>
                    <w:tblPr>
                      <w:tblStyle w:val="TableNormal"/>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47"/>
                      <w:gridCol w:w="5812"/>
                      <w:gridCol w:w="1142"/>
                      <w:gridCol w:w="1127"/>
                    </w:tblGrid>
                    <w:tr w:rsidR="00307933" w14:paraId="55895F23" w14:textId="77777777">
                      <w:trPr>
                        <w:trHeight w:val="826"/>
                      </w:trPr>
                      <w:tc>
                        <w:tcPr>
                          <w:tcW w:w="1847" w:type="dxa"/>
                          <w:vMerge w:val="restart"/>
                        </w:tcPr>
                        <w:p w14:paraId="11949063" w14:textId="77777777" w:rsidR="00307933" w:rsidRDefault="00307933">
                          <w:pPr>
                            <w:pStyle w:val="TableParagraph"/>
                            <w:rPr>
                              <w:rFonts w:ascii="Times New Roman"/>
                            </w:rPr>
                          </w:pPr>
                        </w:p>
                      </w:tc>
                      <w:tc>
                        <w:tcPr>
                          <w:tcW w:w="5812" w:type="dxa"/>
                          <w:vMerge w:val="restart"/>
                        </w:tcPr>
                        <w:p w14:paraId="0B73D22D" w14:textId="77777777" w:rsidR="00307933" w:rsidRDefault="00307933">
                          <w:pPr>
                            <w:pStyle w:val="TableParagraph"/>
                            <w:spacing w:before="174"/>
                            <w:rPr>
                              <w:rFonts w:ascii="Times New Roman"/>
                              <w:sz w:val="24"/>
                            </w:rPr>
                          </w:pPr>
                        </w:p>
                        <w:p w14:paraId="7552C244" w14:textId="18BB4847" w:rsidR="00307933" w:rsidRDefault="00157226" w:rsidP="00157226">
                          <w:pPr>
                            <w:pStyle w:val="TableParagraph"/>
                            <w:ind w:left="1133"/>
                            <w:jc w:val="center"/>
                            <w:rPr>
                              <w:b/>
                              <w:sz w:val="24"/>
                            </w:rPr>
                          </w:pPr>
                          <w:r w:rsidRPr="00157226">
                            <w:rPr>
                              <w:b/>
                              <w:sz w:val="24"/>
                            </w:rPr>
                            <w:t>INFORMACIÓN SECTOR ELÉCTRICO SIN–ZNI</w:t>
                          </w:r>
                        </w:p>
                      </w:tc>
                      <w:tc>
                        <w:tcPr>
                          <w:tcW w:w="2269" w:type="dxa"/>
                          <w:gridSpan w:val="2"/>
                        </w:tcPr>
                        <w:p w14:paraId="02F39435" w14:textId="77777777" w:rsidR="00307933" w:rsidRDefault="00307933">
                          <w:pPr>
                            <w:pStyle w:val="TableParagraph"/>
                            <w:rPr>
                              <w:rFonts w:ascii="Times New Roman"/>
                            </w:rPr>
                          </w:pPr>
                        </w:p>
                      </w:tc>
                    </w:tr>
                    <w:tr w:rsidR="00307933" w14:paraId="298B5992" w14:textId="77777777">
                      <w:trPr>
                        <w:trHeight w:val="285"/>
                      </w:trPr>
                      <w:tc>
                        <w:tcPr>
                          <w:tcW w:w="1847" w:type="dxa"/>
                          <w:vMerge/>
                          <w:tcBorders>
                            <w:top w:val="nil"/>
                          </w:tcBorders>
                        </w:tcPr>
                        <w:p w14:paraId="1213B02A" w14:textId="77777777" w:rsidR="00307933" w:rsidRDefault="00307933">
                          <w:pPr>
                            <w:rPr>
                              <w:sz w:val="2"/>
                              <w:szCs w:val="2"/>
                            </w:rPr>
                          </w:pPr>
                        </w:p>
                      </w:tc>
                      <w:tc>
                        <w:tcPr>
                          <w:tcW w:w="5812" w:type="dxa"/>
                          <w:vMerge/>
                          <w:tcBorders>
                            <w:top w:val="nil"/>
                          </w:tcBorders>
                        </w:tcPr>
                        <w:p w14:paraId="1859FBB3" w14:textId="77777777" w:rsidR="00307933" w:rsidRDefault="00307933">
                          <w:pPr>
                            <w:rPr>
                              <w:sz w:val="2"/>
                              <w:szCs w:val="2"/>
                            </w:rPr>
                          </w:pPr>
                        </w:p>
                      </w:tc>
                      <w:tc>
                        <w:tcPr>
                          <w:tcW w:w="2269" w:type="dxa"/>
                          <w:gridSpan w:val="2"/>
                        </w:tcPr>
                        <w:p w14:paraId="4F19BD98" w14:textId="77777777" w:rsidR="00307933" w:rsidRDefault="00242234">
                          <w:pPr>
                            <w:pStyle w:val="TableParagraph"/>
                            <w:spacing w:before="58"/>
                            <w:ind w:left="29"/>
                            <w:jc w:val="center"/>
                            <w:rPr>
                              <w:rFonts w:ascii="Arial MT"/>
                              <w:sz w:val="13"/>
                            </w:rPr>
                          </w:pPr>
                          <w:r>
                            <w:rPr>
                              <w:rFonts w:ascii="Arial MT"/>
                              <w:sz w:val="13"/>
                            </w:rPr>
                            <w:t>E-ME-F-</w:t>
                          </w:r>
                          <w:r>
                            <w:rPr>
                              <w:rFonts w:ascii="Arial MT"/>
                              <w:spacing w:val="-5"/>
                              <w:sz w:val="13"/>
                            </w:rPr>
                            <w:t>14</w:t>
                          </w:r>
                        </w:p>
                      </w:tc>
                    </w:tr>
                    <w:tr w:rsidR="00307933" w14:paraId="4D94ADFD" w14:textId="77777777">
                      <w:trPr>
                        <w:trHeight w:val="255"/>
                      </w:trPr>
                      <w:tc>
                        <w:tcPr>
                          <w:tcW w:w="1847" w:type="dxa"/>
                          <w:vMerge/>
                          <w:tcBorders>
                            <w:top w:val="nil"/>
                          </w:tcBorders>
                        </w:tcPr>
                        <w:p w14:paraId="61F7F859" w14:textId="77777777" w:rsidR="00307933" w:rsidRDefault="00307933">
                          <w:pPr>
                            <w:rPr>
                              <w:sz w:val="2"/>
                              <w:szCs w:val="2"/>
                            </w:rPr>
                          </w:pPr>
                        </w:p>
                      </w:tc>
                      <w:tc>
                        <w:tcPr>
                          <w:tcW w:w="5812" w:type="dxa"/>
                          <w:vMerge/>
                          <w:tcBorders>
                            <w:top w:val="nil"/>
                          </w:tcBorders>
                        </w:tcPr>
                        <w:p w14:paraId="00FF6506" w14:textId="77777777" w:rsidR="00307933" w:rsidRDefault="00307933">
                          <w:pPr>
                            <w:rPr>
                              <w:sz w:val="2"/>
                              <w:szCs w:val="2"/>
                            </w:rPr>
                          </w:pPr>
                        </w:p>
                      </w:tc>
                      <w:tc>
                        <w:tcPr>
                          <w:tcW w:w="1142" w:type="dxa"/>
                        </w:tcPr>
                        <w:p w14:paraId="60D33FDD" w14:textId="0BBEB760" w:rsidR="00307933" w:rsidRDefault="001F0172">
                          <w:pPr>
                            <w:pStyle w:val="TableParagraph"/>
                            <w:spacing w:before="43"/>
                            <w:ind w:left="217"/>
                            <w:rPr>
                              <w:rFonts w:ascii="Arial MT"/>
                              <w:sz w:val="13"/>
                            </w:rPr>
                          </w:pPr>
                          <w:r>
                            <w:rPr>
                              <w:rFonts w:ascii="Arial MT"/>
                              <w:sz w:val="13"/>
                            </w:rPr>
                            <w:t>22-10-</w:t>
                          </w:r>
                          <w:r>
                            <w:rPr>
                              <w:rFonts w:ascii="Arial MT"/>
                              <w:spacing w:val="-4"/>
                              <w:sz w:val="13"/>
                            </w:rPr>
                            <w:t>2025</w:t>
                          </w:r>
                        </w:p>
                      </w:tc>
                      <w:tc>
                        <w:tcPr>
                          <w:tcW w:w="1127" w:type="dxa"/>
                        </w:tcPr>
                        <w:p w14:paraId="2345F354" w14:textId="77777777" w:rsidR="00307933" w:rsidRDefault="00242234">
                          <w:pPr>
                            <w:pStyle w:val="TableParagraph"/>
                            <w:spacing w:before="43"/>
                            <w:ind w:left="13"/>
                            <w:jc w:val="center"/>
                            <w:rPr>
                              <w:rFonts w:ascii="Arial MT"/>
                              <w:sz w:val="13"/>
                            </w:rPr>
                          </w:pPr>
                          <w:r>
                            <w:rPr>
                              <w:rFonts w:ascii="Arial MT"/>
                              <w:sz w:val="13"/>
                            </w:rPr>
                            <w:t>V-</w:t>
                          </w:r>
                          <w:r>
                            <w:rPr>
                              <w:rFonts w:ascii="Arial MT"/>
                              <w:spacing w:val="-10"/>
                              <w:sz w:val="13"/>
                            </w:rPr>
                            <w:t>5</w:t>
                          </w:r>
                        </w:p>
                      </w:tc>
                    </w:tr>
                  </w:tbl>
                  <w:p w14:paraId="5BE39FE5" w14:textId="77777777" w:rsidR="00307933" w:rsidRDefault="00307933">
                    <w:pPr>
                      <w:pStyle w:val="Textoindependiente"/>
                    </w:pPr>
                  </w:p>
                </w:txbxContent>
              </v:textbox>
              <w10:wrap anchorx="page" anchory="page"/>
            </v:shape>
          </w:pict>
        </mc:Fallback>
      </mc:AlternateContent>
    </w:r>
    <w:r>
      <w:rPr>
        <w:noProof/>
        <w:lang w:val="en-US"/>
      </w:rPr>
      <w:drawing>
        <wp:anchor distT="0" distB="0" distL="0" distR="0" simplePos="0" relativeHeight="487494144" behindDoc="1" locked="0" layoutInCell="1" allowOverlap="1" wp14:anchorId="4C68BD0E" wp14:editId="692991A8">
          <wp:simplePos x="0" y="0"/>
          <wp:positionH relativeFrom="page">
            <wp:posOffset>5579109</wp:posOffset>
          </wp:positionH>
          <wp:positionV relativeFrom="page">
            <wp:posOffset>326390</wp:posOffset>
          </wp:positionV>
          <wp:extent cx="1440814" cy="543559"/>
          <wp:effectExtent l="0" t="0" r="0" b="0"/>
          <wp:wrapNone/>
          <wp:docPr id="1457182693"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440814" cy="543559"/>
                  </a:xfrm>
                  <a:prstGeom prst="rect">
                    <a:avLst/>
                  </a:prstGeom>
                </pic:spPr>
              </pic:pic>
            </a:graphicData>
          </a:graphic>
        </wp:anchor>
      </w:drawing>
    </w:r>
    <w:r>
      <w:rPr>
        <w:noProof/>
        <w:lang w:val="en-US"/>
      </w:rPr>
      <w:drawing>
        <wp:anchor distT="0" distB="0" distL="0" distR="0" simplePos="0" relativeHeight="487494656" behindDoc="1" locked="0" layoutInCell="1" allowOverlap="1" wp14:anchorId="7AC5D67C" wp14:editId="12C247F0">
          <wp:simplePos x="0" y="0"/>
          <wp:positionH relativeFrom="page">
            <wp:posOffset>953859</wp:posOffset>
          </wp:positionH>
          <wp:positionV relativeFrom="page">
            <wp:posOffset>461309</wp:posOffset>
          </wp:positionV>
          <wp:extent cx="702131" cy="633536"/>
          <wp:effectExtent l="0" t="0" r="0" b="0"/>
          <wp:wrapNone/>
          <wp:docPr id="504985192"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2" cstate="print"/>
                  <a:stretch>
                    <a:fillRect/>
                  </a:stretch>
                </pic:blipFill>
                <pic:spPr>
                  <a:xfrm>
                    <a:off x="0" y="0"/>
                    <a:ext cx="702131" cy="63353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3D2D98"/>
    <w:multiLevelType w:val="multilevel"/>
    <w:tmpl w:val="CCD0C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DD25A8"/>
    <w:multiLevelType w:val="multilevel"/>
    <w:tmpl w:val="BBFA0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6A76F0"/>
    <w:multiLevelType w:val="multilevel"/>
    <w:tmpl w:val="7032A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385593"/>
    <w:multiLevelType w:val="hybridMultilevel"/>
    <w:tmpl w:val="59DA61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73031973">
    <w:abstractNumId w:val="0"/>
  </w:num>
  <w:num w:numId="2" w16cid:durableId="83695151">
    <w:abstractNumId w:val="2"/>
  </w:num>
  <w:num w:numId="3" w16cid:durableId="438567352">
    <w:abstractNumId w:val="1"/>
  </w:num>
  <w:num w:numId="4" w16cid:durableId="17844171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33"/>
    <w:rsid w:val="0000037E"/>
    <w:rsid w:val="000D5E6D"/>
    <w:rsid w:val="000F0D6A"/>
    <w:rsid w:val="00101640"/>
    <w:rsid w:val="001026FF"/>
    <w:rsid w:val="00104D3D"/>
    <w:rsid w:val="00104FAE"/>
    <w:rsid w:val="00157226"/>
    <w:rsid w:val="00170B05"/>
    <w:rsid w:val="001F0172"/>
    <w:rsid w:val="001F3C55"/>
    <w:rsid w:val="0020646A"/>
    <w:rsid w:val="002337A8"/>
    <w:rsid w:val="00242234"/>
    <w:rsid w:val="00262D1A"/>
    <w:rsid w:val="00274101"/>
    <w:rsid w:val="00283092"/>
    <w:rsid w:val="002A0B90"/>
    <w:rsid w:val="00307933"/>
    <w:rsid w:val="00340768"/>
    <w:rsid w:val="00340C44"/>
    <w:rsid w:val="003D114C"/>
    <w:rsid w:val="00407658"/>
    <w:rsid w:val="00412840"/>
    <w:rsid w:val="00412B49"/>
    <w:rsid w:val="00412EAE"/>
    <w:rsid w:val="004172B4"/>
    <w:rsid w:val="004F39F8"/>
    <w:rsid w:val="00527CBF"/>
    <w:rsid w:val="00587F61"/>
    <w:rsid w:val="005D7690"/>
    <w:rsid w:val="005F2B44"/>
    <w:rsid w:val="00622951"/>
    <w:rsid w:val="006318DF"/>
    <w:rsid w:val="00634261"/>
    <w:rsid w:val="006A7A7F"/>
    <w:rsid w:val="00701FC0"/>
    <w:rsid w:val="00773CF2"/>
    <w:rsid w:val="00783587"/>
    <w:rsid w:val="007D02AD"/>
    <w:rsid w:val="007E09F4"/>
    <w:rsid w:val="00803062"/>
    <w:rsid w:val="00834928"/>
    <w:rsid w:val="009808E5"/>
    <w:rsid w:val="00983EBD"/>
    <w:rsid w:val="009B0972"/>
    <w:rsid w:val="00A03A7A"/>
    <w:rsid w:val="00A444D9"/>
    <w:rsid w:val="00AB7442"/>
    <w:rsid w:val="00AE5C86"/>
    <w:rsid w:val="00B17EF5"/>
    <w:rsid w:val="00B24E6C"/>
    <w:rsid w:val="00B75564"/>
    <w:rsid w:val="00BA1E1E"/>
    <w:rsid w:val="00BB6B03"/>
    <w:rsid w:val="00BC5D3D"/>
    <w:rsid w:val="00BC63DE"/>
    <w:rsid w:val="00BE77F5"/>
    <w:rsid w:val="00C02C2F"/>
    <w:rsid w:val="00C04F45"/>
    <w:rsid w:val="00CC3D47"/>
    <w:rsid w:val="00CF0D80"/>
    <w:rsid w:val="00D41971"/>
    <w:rsid w:val="00DB2267"/>
    <w:rsid w:val="00DC315D"/>
    <w:rsid w:val="00DC3E97"/>
    <w:rsid w:val="00E036DD"/>
    <w:rsid w:val="00E9670C"/>
    <w:rsid w:val="00E97CD9"/>
    <w:rsid w:val="00EC0B17"/>
    <w:rsid w:val="00ED0DF7"/>
    <w:rsid w:val="00F7366D"/>
    <w:rsid w:val="00FB2574"/>
    <w:rsid w:val="00FC1B36"/>
    <w:rsid w:val="00FD495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0DD7C"/>
  <w15:docId w15:val="{FFDA59B8-1AEF-43E0-B7D9-AAAC74C07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s-ES"/>
    </w:rPr>
  </w:style>
  <w:style w:type="paragraph" w:styleId="Ttulo1">
    <w:name w:val="heading 1"/>
    <w:basedOn w:val="Normal"/>
    <w:uiPriority w:val="9"/>
    <w:qFormat/>
    <w:pPr>
      <w:spacing w:before="1"/>
      <w:ind w:left="121"/>
      <w:outlineLvl w:val="0"/>
    </w:pPr>
    <w:rPr>
      <w:b/>
      <w:bCs/>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b/>
      <w:bCs/>
      <w:sz w:val="24"/>
      <w:szCs w:val="24"/>
    </w:rPr>
  </w:style>
  <w:style w:type="paragraph" w:styleId="Prrafodelista">
    <w:name w:val="List Paragraph"/>
    <w:basedOn w:val="Normal"/>
    <w:uiPriority w:val="34"/>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1F0172"/>
    <w:pPr>
      <w:tabs>
        <w:tab w:val="center" w:pos="4680"/>
        <w:tab w:val="right" w:pos="9360"/>
      </w:tabs>
    </w:pPr>
  </w:style>
  <w:style w:type="character" w:customStyle="1" w:styleId="EncabezadoCar">
    <w:name w:val="Encabezado Car"/>
    <w:basedOn w:val="Fuentedeprrafopredeter"/>
    <w:link w:val="Encabezado"/>
    <w:uiPriority w:val="99"/>
    <w:rsid w:val="001F0172"/>
    <w:rPr>
      <w:rFonts w:ascii="Arial" w:eastAsia="Arial" w:hAnsi="Arial" w:cs="Arial"/>
      <w:lang w:val="es-ES"/>
    </w:rPr>
  </w:style>
  <w:style w:type="paragraph" w:styleId="Piedepgina">
    <w:name w:val="footer"/>
    <w:basedOn w:val="Normal"/>
    <w:link w:val="PiedepginaCar"/>
    <w:uiPriority w:val="99"/>
    <w:unhideWhenUsed/>
    <w:rsid w:val="001F0172"/>
    <w:pPr>
      <w:tabs>
        <w:tab w:val="center" w:pos="4680"/>
        <w:tab w:val="right" w:pos="9360"/>
      </w:tabs>
    </w:pPr>
  </w:style>
  <w:style w:type="character" w:customStyle="1" w:styleId="PiedepginaCar">
    <w:name w:val="Pie de página Car"/>
    <w:basedOn w:val="Fuentedeprrafopredeter"/>
    <w:link w:val="Piedepgina"/>
    <w:uiPriority w:val="99"/>
    <w:rsid w:val="001F0172"/>
    <w:rPr>
      <w:rFonts w:ascii="Arial" w:eastAsia="Arial" w:hAnsi="Arial" w:cs="Arial"/>
      <w:lang w:val="es-ES"/>
    </w:rPr>
  </w:style>
  <w:style w:type="character" w:styleId="Refdecomentario">
    <w:name w:val="annotation reference"/>
    <w:basedOn w:val="Fuentedeprrafopredeter"/>
    <w:uiPriority w:val="99"/>
    <w:semiHidden/>
    <w:unhideWhenUsed/>
    <w:rsid w:val="006A7A7F"/>
    <w:rPr>
      <w:sz w:val="16"/>
      <w:szCs w:val="16"/>
    </w:rPr>
  </w:style>
  <w:style w:type="paragraph" w:styleId="Textocomentario">
    <w:name w:val="annotation text"/>
    <w:basedOn w:val="Normal"/>
    <w:link w:val="TextocomentarioCar"/>
    <w:uiPriority w:val="99"/>
    <w:unhideWhenUsed/>
    <w:rsid w:val="006A7A7F"/>
    <w:rPr>
      <w:sz w:val="20"/>
      <w:szCs w:val="20"/>
    </w:rPr>
  </w:style>
  <w:style w:type="character" w:customStyle="1" w:styleId="TextocomentarioCar">
    <w:name w:val="Texto comentario Car"/>
    <w:basedOn w:val="Fuentedeprrafopredeter"/>
    <w:link w:val="Textocomentario"/>
    <w:uiPriority w:val="99"/>
    <w:rsid w:val="006A7A7F"/>
    <w:rPr>
      <w:rFonts w:ascii="Arial" w:eastAsia="Arial" w:hAnsi="Arial" w:cs="Arial"/>
      <w:sz w:val="20"/>
      <w:szCs w:val="20"/>
      <w:lang w:val="es-ES"/>
    </w:rPr>
  </w:style>
  <w:style w:type="paragraph" w:styleId="Asuntodelcomentario">
    <w:name w:val="annotation subject"/>
    <w:basedOn w:val="Textocomentario"/>
    <w:next w:val="Textocomentario"/>
    <w:link w:val="AsuntodelcomentarioCar"/>
    <w:uiPriority w:val="99"/>
    <w:semiHidden/>
    <w:unhideWhenUsed/>
    <w:rsid w:val="006A7A7F"/>
    <w:rPr>
      <w:b/>
      <w:bCs/>
    </w:rPr>
  </w:style>
  <w:style w:type="character" w:customStyle="1" w:styleId="AsuntodelcomentarioCar">
    <w:name w:val="Asunto del comentario Car"/>
    <w:basedOn w:val="TextocomentarioCar"/>
    <w:link w:val="Asuntodelcomentario"/>
    <w:uiPriority w:val="99"/>
    <w:semiHidden/>
    <w:rsid w:val="006A7A7F"/>
    <w:rPr>
      <w:rFonts w:ascii="Arial" w:eastAsia="Arial" w:hAnsi="Arial" w:cs="Arial"/>
      <w:b/>
      <w:bCs/>
      <w:sz w:val="20"/>
      <w:szCs w:val="20"/>
      <w:lang w:val="es-ES"/>
    </w:rPr>
  </w:style>
  <w:style w:type="paragraph" w:styleId="Textodeglobo">
    <w:name w:val="Balloon Text"/>
    <w:basedOn w:val="Normal"/>
    <w:link w:val="TextodegloboCar"/>
    <w:uiPriority w:val="99"/>
    <w:semiHidden/>
    <w:unhideWhenUsed/>
    <w:rsid w:val="006A7A7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A7A7F"/>
    <w:rPr>
      <w:rFonts w:ascii="Segoe UI" w:eastAsia="Arial" w:hAnsi="Segoe UI" w:cs="Segoe UI"/>
      <w:sz w:val="18"/>
      <w:szCs w:val="18"/>
      <w:lang w:val="es-ES"/>
    </w:rPr>
  </w:style>
  <w:style w:type="character" w:styleId="Hipervnculo">
    <w:name w:val="Hyperlink"/>
    <w:basedOn w:val="Fuentedeprrafopredeter"/>
    <w:uiPriority w:val="99"/>
    <w:unhideWhenUsed/>
    <w:rsid w:val="0015722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uperservicios.gov.c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inenergia.gov.c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nenergia.gov.co" TargetMode="External"/><Relationship Id="rId5" Type="http://schemas.openxmlformats.org/officeDocument/2006/relationships/numbering" Target="numbering.xml"/><Relationship Id="rId15" Type="http://schemas.openxmlformats.org/officeDocument/2006/relationships/hyperlink" Target="https://www.xm.com.c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pme.gov.co"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1fe20781f92979b6fe0572cc153532d3">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f81f096c04af5aad12fc2dad45a01d6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D353C7-CC10-4253-BC95-D108F8562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9895-93ab-4536-b1cb-77a268359520"/>
    <ds:schemaRef ds:uri="189b51a7-d269-4f29-b142-79e8ee84f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EA2C56-005F-4CCA-AD05-E829C941A834}">
  <ds:schemaRefs>
    <ds:schemaRef ds:uri="http://schemas.openxmlformats.org/officeDocument/2006/bibliography"/>
  </ds:schemaRefs>
</ds:datastoreItem>
</file>

<file path=customXml/itemProps3.xml><?xml version="1.0" encoding="utf-8"?>
<ds:datastoreItem xmlns:ds="http://schemas.openxmlformats.org/officeDocument/2006/customXml" ds:itemID="{6B902CC8-2496-4A53-AA59-D1E60D6F782A}">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4.xml><?xml version="1.0" encoding="utf-8"?>
<ds:datastoreItem xmlns:ds="http://schemas.openxmlformats.org/officeDocument/2006/customXml" ds:itemID="{99154191-CEEF-4746-877E-045F9A92B1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1946</Words>
  <Characters>10705</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ALEXANDRA CHAPARRO RINCON</dc:creator>
  <cp:lastModifiedBy>Juan Manuel Infante</cp:lastModifiedBy>
  <cp:revision>2</cp:revision>
  <cp:lastPrinted>2025-09-30T19:59:00Z</cp:lastPrinted>
  <dcterms:created xsi:type="dcterms:W3CDTF">2025-12-16T14:47:00Z</dcterms:created>
  <dcterms:modified xsi:type="dcterms:W3CDTF">2025-12-16T14:47:00Z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2024-09-10T00:00:00Z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2024-09-10T00:00:00Z</vt:filetime>
  </property>
  <property fmtid="{D5CDD505-2E9C-101B-9397-08002B2CF9AE}" pid="6" name="GrammarlyDocumentId">
    <vt:lpwstr>a766e2f8-8785-43d9-beb2-ee28250cbf78</vt:lpwstr>
  </property>
  <property fmtid="{D5CDD505-2E9C-101B-9397-08002B2CF9AE}" pid="7" name="ContentTypeId">
    <vt:lpwstr>0x0101001D2AC1A0CAA71244BE1C830520B3580B</vt:lpwstr>
  </property>
</Properties>
</file>